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78" w:rsidRDefault="000D5778">
      <w:pPr>
        <w:adjustRightInd w:val="0"/>
        <w:snapToGrid w:val="0"/>
        <w:spacing w:line="240" w:lineRule="atLeast"/>
        <w:outlineLvl w:val="1"/>
        <w:rPr>
          <w:rFonts w:ascii="黑体" w:eastAsia="黑体" w:hAnsi="黑体" w:cs="黑体"/>
          <w:sz w:val="32"/>
          <w:szCs w:val="32"/>
        </w:rPr>
      </w:pPr>
      <w:bookmarkStart w:id="0" w:name="_Toc6260"/>
      <w:bookmarkStart w:id="1" w:name="_Toc532386975"/>
      <w:bookmarkStart w:id="2" w:name="_Toc534796678"/>
      <w:bookmarkStart w:id="3" w:name="_Toc19294"/>
      <w:bookmarkStart w:id="4" w:name="_Toc1174"/>
      <w:bookmarkStart w:id="5" w:name="_Toc1741916"/>
      <w:bookmarkStart w:id="6" w:name="_Toc5042"/>
      <w:r>
        <w:rPr>
          <w:rFonts w:ascii="黑体" w:eastAsia="黑体" w:hAnsi="黑体" w:cs="黑体" w:hint="eastAsia"/>
          <w:sz w:val="32"/>
          <w:szCs w:val="32"/>
        </w:rPr>
        <w:t>附件</w:t>
      </w:r>
      <w:r>
        <w:rPr>
          <w:rFonts w:ascii="黑体" w:eastAsia="黑体" w:hAnsi="黑体" w:cs="黑体"/>
          <w:sz w:val="32"/>
          <w:szCs w:val="32"/>
        </w:rPr>
        <w:t>2</w:t>
      </w:r>
    </w:p>
    <w:p w:rsidR="000D5778" w:rsidRDefault="000D5778">
      <w:pPr>
        <w:adjustRightInd w:val="0"/>
        <w:snapToGrid w:val="0"/>
        <w:spacing w:line="240" w:lineRule="atLeast"/>
        <w:jc w:val="center"/>
        <w:rPr>
          <w:rFonts w:ascii="创艺简标宋" w:eastAsia="创艺简标宋" w:cs="Times New Roman"/>
          <w:sz w:val="44"/>
          <w:szCs w:val="44"/>
        </w:rPr>
      </w:pPr>
      <w:r>
        <w:rPr>
          <w:rFonts w:ascii="创艺简标宋" w:eastAsia="创艺简标宋" w:cs="创艺简标宋" w:hint="eastAsia"/>
          <w:sz w:val="44"/>
          <w:szCs w:val="44"/>
        </w:rPr>
        <w:t>宁波市政府数字化转型三年行动计划（</w:t>
      </w:r>
      <w:r>
        <w:rPr>
          <w:rFonts w:ascii="创艺简标宋" w:eastAsia="创艺简标宋" w:cs="创艺简标宋"/>
          <w:sz w:val="44"/>
          <w:szCs w:val="44"/>
        </w:rPr>
        <w:t>2019-2021</w:t>
      </w:r>
      <w:r>
        <w:rPr>
          <w:rFonts w:ascii="创艺简标宋" w:eastAsia="创艺简标宋" w:cs="创艺简标宋" w:hint="eastAsia"/>
          <w:sz w:val="44"/>
          <w:szCs w:val="44"/>
        </w:rPr>
        <w:t>年）</w:t>
      </w:r>
    </w:p>
    <w:p w:rsidR="000D5778" w:rsidRDefault="000D5778">
      <w:pPr>
        <w:adjustRightInd w:val="0"/>
        <w:snapToGrid w:val="0"/>
        <w:spacing w:line="240" w:lineRule="atLeast"/>
        <w:jc w:val="center"/>
        <w:rPr>
          <w:rFonts w:ascii="创艺简标宋" w:eastAsia="创艺简标宋" w:cs="Times New Roman"/>
          <w:sz w:val="44"/>
          <w:szCs w:val="44"/>
        </w:rPr>
      </w:pPr>
      <w:r>
        <w:rPr>
          <w:rFonts w:ascii="创艺简标宋" w:eastAsia="创艺简标宋" w:cs="创艺简标宋" w:hint="eastAsia"/>
          <w:sz w:val="44"/>
          <w:szCs w:val="44"/>
        </w:rPr>
        <w:t>主要任务责任分工表</w:t>
      </w:r>
    </w:p>
    <w:p w:rsidR="000D5778" w:rsidRDefault="000D5778">
      <w:pPr>
        <w:adjustRightInd w:val="0"/>
        <w:snapToGrid w:val="0"/>
        <w:spacing w:line="240" w:lineRule="atLeast"/>
        <w:jc w:val="center"/>
        <w:rPr>
          <w:rFonts w:ascii="Times New Roman" w:eastAsia="方正小标宋简体" w:cs="Times New Roman"/>
          <w:sz w:val="32"/>
          <w:szCs w:val="32"/>
        </w:rPr>
      </w:pPr>
    </w:p>
    <w:tbl>
      <w:tblPr>
        <w:tblW w:w="130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559"/>
        <w:gridCol w:w="5386"/>
        <w:gridCol w:w="1134"/>
        <w:gridCol w:w="1701"/>
        <w:gridCol w:w="2552"/>
      </w:tblGrid>
      <w:tr w:rsidR="000D5778">
        <w:trPr>
          <w:trHeight w:val="347"/>
          <w:tblHeader/>
        </w:trPr>
        <w:tc>
          <w:tcPr>
            <w:tcW w:w="709"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序号</w:t>
            </w:r>
          </w:p>
        </w:tc>
        <w:tc>
          <w:tcPr>
            <w:tcW w:w="1559"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主要任务</w:t>
            </w:r>
          </w:p>
        </w:tc>
        <w:tc>
          <w:tcPr>
            <w:tcW w:w="5386"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工作内容</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牵头领导</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牵头单位</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配合单位</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w:t>
            </w:r>
          </w:p>
        </w:tc>
        <w:tc>
          <w:tcPr>
            <w:tcW w:w="1559"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完善政务外网</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升级改造电子政务外网网络骨干，升级改造全市电子政务专网为政务办公业务网，部署政务外网终端安全防护系统。</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w:t>
            </w:r>
          </w:p>
        </w:tc>
        <w:tc>
          <w:tcPr>
            <w:tcW w:w="1559"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完善政务内网</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统筹建设全市政务内网网络，加强网络备份和容灾系统建设，完善内网应用和信息资源建设。</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施惠芳</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市委机要保密局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w:t>
            </w:r>
          </w:p>
        </w:tc>
        <w:tc>
          <w:tcPr>
            <w:tcW w:w="1559"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推进公共设施物联网建设</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加快物联网整合统一，建设一体化物联网管理平台，完善物联网基础设施并加强示范应用。</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陈炳荣</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市经信局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4</w:t>
            </w:r>
          </w:p>
        </w:tc>
        <w:tc>
          <w:tcPr>
            <w:tcW w:w="1559"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完善一体化政务云平台</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推进市政务云与省政务云的融合，形成全市政务“一朵云”。全面推进各类政务信息系统向市政务云平台迁移。</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5</w:t>
            </w:r>
          </w:p>
        </w:tc>
        <w:tc>
          <w:tcPr>
            <w:tcW w:w="1559"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建设大数据通用计算平台</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加强数据治理能力和数据服务能力建设，提升各类应用获取数据服务的标准化和规范化，实现“数据即服务”。</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市级有关部门，各区县（市）政府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6</w:t>
            </w:r>
          </w:p>
        </w:tc>
        <w:tc>
          <w:tcPr>
            <w:tcW w:w="1559"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完善公共</w:t>
            </w:r>
          </w:p>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数据库</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加强各部门内部的系统整合和数据集中，推进数据归集，形成我市“公共数据大仓库”。</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市级有关部门，各区县（市）政府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7</w:t>
            </w:r>
          </w:p>
        </w:tc>
        <w:tc>
          <w:tcPr>
            <w:tcW w:w="1559"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完善公共信用信息平台</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完善市、区县（市）两级的一体化信用平台，推动公共信用信息和市场信用信息的融合运用。</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市发改委</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市大数据局，市级有关部门，各区县（市）政府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8</w:t>
            </w:r>
          </w:p>
        </w:tc>
        <w:tc>
          <w:tcPr>
            <w:tcW w:w="1559"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完善时空信息云平台</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实时汇集城市各种时空信息，建设地理信息服务平台。</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市自然资源</w:t>
            </w:r>
          </w:p>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规划局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市大数据局，市级有关部门，各区县（市）政府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9</w:t>
            </w:r>
          </w:p>
        </w:tc>
        <w:tc>
          <w:tcPr>
            <w:tcW w:w="1559"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完善公共数据共享交换和开放平台</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提升市公共数据共享平台和数据交换平台能力，推进数据接口共享，完善市公共数据开放平台。</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市级有关部门，各区县（市）政府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10</w:t>
            </w:r>
          </w:p>
        </w:tc>
        <w:tc>
          <w:tcPr>
            <w:tcW w:w="1559"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构建视频资源共享平台</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推进全市视频资源共享平台建设，建立标准统一的视频资源数据库，实现视频图像资源的共用共享。</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市委政法委、市公安局，市级有关部门，各区县（市）政府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11</w:t>
            </w:r>
          </w:p>
        </w:tc>
        <w:tc>
          <w:tcPr>
            <w:tcW w:w="1559"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w:t>
            </w:r>
            <w:r>
              <w:rPr>
                <w:rFonts w:ascii="仿宋_GB2312" w:eastAsia="仿宋_GB2312" w:hAnsi="仿宋" w:cs="仿宋_GB2312"/>
                <w:snapToGrid w:val="0"/>
                <w:spacing w:val="-4"/>
              </w:rPr>
              <w:t>CityGo</w:t>
            </w:r>
            <w:r>
              <w:rPr>
                <w:rFonts w:ascii="仿宋_GB2312" w:eastAsia="仿宋_GB2312" w:hAnsi="仿宋" w:cs="仿宋_GB2312" w:hint="eastAsia"/>
                <w:snapToGrid w:val="0"/>
                <w:spacing w:val="-4"/>
              </w:rPr>
              <w:t>城市大脑”</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构建集智能感知、智能分析、智能决策、智能应用等功能于一体的“智能中枢”平台。</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陈炳荣</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市经信局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市大数据局、市级有关部门，各区县（市）政府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12</w:t>
            </w:r>
          </w:p>
        </w:tc>
        <w:tc>
          <w:tcPr>
            <w:tcW w:w="1559" w:type="dxa"/>
            <w:vMerge w:val="restart"/>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强化“一盘棋”的应用支撑体系</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对接浙江省政府数字化转型的应用支撑体系，完善统一的政府网站集约化平台和移动应用汇聚平台、开发平台。</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rPr>
            </w:pPr>
            <w:r>
              <w:rPr>
                <w:rFonts w:ascii="仿宋_GB2312" w:eastAsia="仿宋_GB2312" w:hAnsi="仿宋" w:cs="仿宋_GB2312" w:hint="eastAsia"/>
                <w:snapToGrid w:val="0"/>
              </w:rPr>
              <w:t>市级有关部门，各区县（市）政府</w:t>
            </w:r>
          </w:p>
        </w:tc>
      </w:tr>
      <w:tr w:rsidR="000D5778">
        <w:trPr>
          <w:trHeight w:val="674"/>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13</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对接公安部可信身份认证平台和市场监管总局企业电子营业执照，推动各部门自建</w:t>
            </w:r>
            <w:r>
              <w:rPr>
                <w:rFonts w:ascii="仿宋_GB2312" w:eastAsia="仿宋_GB2312" w:hAnsi="仿宋" w:cs="仿宋_GB2312"/>
                <w:snapToGrid w:val="0"/>
                <w:spacing w:val="-4"/>
              </w:rPr>
              <w:t>CA</w:t>
            </w:r>
            <w:r>
              <w:rPr>
                <w:rFonts w:ascii="仿宋_GB2312" w:eastAsia="仿宋_GB2312" w:hAnsi="仿宋" w:cs="仿宋_GB2312" w:hint="eastAsia"/>
                <w:snapToGrid w:val="0"/>
                <w:spacing w:val="-4"/>
              </w:rPr>
              <w:t>认证系统互认互信。</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市公安局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市市场监管局、市大数据局，市级有关部门，各区县（市）政府</w:t>
            </w:r>
          </w:p>
        </w:tc>
      </w:tr>
      <w:tr w:rsidR="000D5778">
        <w:trPr>
          <w:trHeight w:val="525"/>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14</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对接浙江省统一的用户体系，实现统一用户和身份核验。</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市级有关部</w:t>
            </w:r>
            <w:r>
              <w:rPr>
                <w:rFonts w:ascii="仿宋_GB2312" w:eastAsia="仿宋_GB2312" w:hAnsi="仿宋" w:cs="仿宋_GB2312" w:hint="eastAsia"/>
                <w:snapToGrid w:val="0"/>
              </w:rPr>
              <w:t>门，各区县（市）政府</w:t>
            </w:r>
          </w:p>
        </w:tc>
      </w:tr>
      <w:tr w:rsidR="000D5778">
        <w:trPr>
          <w:trHeight w:val="58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15</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对接浙江省统一的地理信息公共平台，为各部门提供电子地图服务。</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市自然资源</w:t>
            </w:r>
          </w:p>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规划局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市级有关</w:t>
            </w:r>
            <w:r>
              <w:rPr>
                <w:rFonts w:ascii="仿宋_GB2312" w:eastAsia="仿宋_GB2312" w:hAnsi="仿宋" w:cs="仿宋_GB2312" w:hint="eastAsia"/>
                <w:snapToGrid w:val="0"/>
              </w:rPr>
              <w:t>部门</w:t>
            </w:r>
            <w:r>
              <w:rPr>
                <w:rFonts w:ascii="仿宋_GB2312" w:eastAsia="仿宋_GB2312" w:hAnsi="仿宋" w:cs="仿宋_GB2312" w:hint="eastAsia"/>
                <w:snapToGrid w:val="0"/>
                <w:spacing w:val="-4"/>
              </w:rPr>
              <w:t>，各区县（市）政府</w:t>
            </w:r>
          </w:p>
        </w:tc>
      </w:tr>
      <w:tr w:rsidR="000D5778">
        <w:trPr>
          <w:trHeight w:val="597"/>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16</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对接浙江省统一公共支付平台，为各类服务提供安全便捷的网络支付渠道。</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市财政局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w:t>
            </w:r>
            <w:r>
              <w:rPr>
                <w:rFonts w:ascii="仿宋_GB2312" w:eastAsia="仿宋_GB2312" w:hAnsi="仿宋" w:cs="仿宋_GB2312" w:hint="eastAsia"/>
                <w:snapToGrid w:val="0"/>
              </w:rPr>
              <w:t>级有关部门，各区县（市）政府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17</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对接省平台，提供电子签章、工作流管理、搜索引擎等标准化开发组件。</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rPr>
              <w:t>市级有关部门，各区县（市）政府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18</w:t>
            </w:r>
          </w:p>
        </w:tc>
        <w:tc>
          <w:tcPr>
            <w:tcW w:w="1559" w:type="dxa"/>
            <w:vMerge w:val="restart"/>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建设“精细”的数字化经济调节体系</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建立全市经济运行监测分析综合平台，实现经济运行动态数据共享。</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市发改委</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市大数据局，市级有关部门，各区县（市）政府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19</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建设农业经济运行监测分析系统，构建分析研判模型。</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卞吉安</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市农业农村局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20</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完善工业经济运行监测分析系统，构建工业经济运行监测预警模型。</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陈炳荣</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市经信局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21</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建设商务经济运行监测分析系统，实现商务运行情况动态分析、预警预测、辅助决策。</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李关定</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市商务局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22</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建设数字经济运行监测分析系统，监测分析数字经济运行情况及其发展态势。</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陈炳荣</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市经信局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市统计局，各区县（市）</w:t>
            </w:r>
          </w:p>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政府</w:t>
            </w:r>
          </w:p>
        </w:tc>
      </w:tr>
      <w:tr w:rsidR="000D5778">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23</w:t>
            </w:r>
          </w:p>
        </w:tc>
        <w:tc>
          <w:tcPr>
            <w:tcW w:w="1559" w:type="dxa"/>
            <w:vMerge w:val="restart"/>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建设“精准”的数字化市场监管体系</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建设全市统一的执法与市场监管平台，加强市场主体信息资源互联互通。</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李关定</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市市场监督局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市大数据局，市级有关部门，各区县（市）政府</w:t>
            </w:r>
          </w:p>
        </w:tc>
      </w:tr>
      <w:tr w:rsidR="000D5778">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24</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推动食品药品产品追溯等实体市场监管系统建设，推进实体市场监管数字化。</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李关定</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市市场监督局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rPr>
            </w:pPr>
            <w:r>
              <w:rPr>
                <w:rFonts w:ascii="仿宋_GB2312" w:eastAsia="仿宋_GB2312" w:hAnsi="仿宋" w:cs="仿宋_GB2312" w:hint="eastAsia"/>
                <w:snapToGrid w:val="0"/>
              </w:rPr>
              <w:t>市级有关部门，各区县（市）政府</w:t>
            </w:r>
          </w:p>
        </w:tc>
      </w:tr>
      <w:tr w:rsidR="000D5778">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25</w:t>
            </w:r>
          </w:p>
        </w:tc>
        <w:tc>
          <w:tcPr>
            <w:tcW w:w="1559" w:type="dxa"/>
            <w:vMerge w:val="restart"/>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建设“精准”的数字化市场监管体系</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强化全市自然资源全过程的跟踪、预警和监管，提高自然资源利用效率。</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市自然资源</w:t>
            </w:r>
          </w:p>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规划局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rPr>
              <w:t>市级有关部门，各区县（市）政府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26</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加强建筑市场和房产交易租赁市场全程监管，建设数字工地，建立工程质量追溯体系。</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沈</w:t>
            </w:r>
            <w:r>
              <w:rPr>
                <w:rFonts w:ascii="仿宋_GB2312" w:eastAsia="仿宋_GB2312" w:hAnsi="仿宋" w:cs="仿宋_GB2312"/>
                <w:snapToGrid w:val="0"/>
                <w:spacing w:val="-4"/>
              </w:rPr>
              <w:t xml:space="preserve">  </w:t>
            </w:r>
            <w:r>
              <w:rPr>
                <w:rFonts w:ascii="仿宋_GB2312" w:eastAsia="仿宋_GB2312" w:hAnsi="仿宋" w:cs="仿宋_GB2312" w:hint="eastAsia"/>
                <w:snapToGrid w:val="0"/>
                <w:spacing w:val="-4"/>
              </w:rPr>
              <w:t>敏</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市住建局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市级有关部门</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27</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加强宁波国际贸易“单一窗口”平台建设，发挥“单一窗口”的通关集聚及便利服务效应。</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李关定</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市口岸办</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市级有关部门</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28</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10"/>
              </w:rPr>
            </w:pPr>
            <w:r>
              <w:rPr>
                <w:rFonts w:ascii="仿宋_GB2312" w:eastAsia="仿宋_GB2312" w:hAnsi="仿宋" w:cs="仿宋_GB2312" w:hint="eastAsia"/>
                <w:snapToGrid w:val="0"/>
                <w:spacing w:val="-10"/>
              </w:rPr>
              <w:t>建设网络市场监管系统，推进网络经济综合信息服务平台建设。</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李关定</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市市场监督局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29</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建设公共资源交易市场监管系统，建立公共资源交易大数据应用平台。</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市政务办</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市级有关部门</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30</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完善金融风险“天罗地网”监测防控系统，整合线上线下金融风险管理资源。</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刘长春</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市金融办</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31</w:t>
            </w:r>
          </w:p>
        </w:tc>
        <w:tc>
          <w:tcPr>
            <w:tcW w:w="1559" w:type="dxa"/>
            <w:vMerge w:val="restart"/>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建设“便捷”的数字化公共服务体系</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立全市政务服务一体化综合平台，全面推进政务服务“一证通办”“一网通办”“全城通办”“掌上办”“自助通办（就近办）”。推进“无证件办事之城”建设，推广网上身份凭证在各类线上线下场景的应用。</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市委改革办（市跑改办）、市政务办、市公安局，市级有关部门，各区县（市）政府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32</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完善城市信息服务统一</w:t>
            </w:r>
            <w:r>
              <w:rPr>
                <w:rFonts w:ascii="仿宋_GB2312" w:eastAsia="仿宋_GB2312" w:hAnsi="仿宋" w:cs="仿宋_GB2312"/>
                <w:snapToGrid w:val="0"/>
                <w:spacing w:val="-4"/>
              </w:rPr>
              <w:t>APP</w:t>
            </w:r>
            <w:r>
              <w:rPr>
                <w:rFonts w:ascii="仿宋_GB2312" w:eastAsia="仿宋_GB2312" w:hAnsi="仿宋" w:cs="仿宋_GB2312" w:hint="eastAsia"/>
                <w:snapToGrid w:val="0"/>
                <w:spacing w:val="-4"/>
              </w:rPr>
              <w:t>，提供与市民衣、食、住、行紧密相连的智能化服务。</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陈炳荣</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市经信局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33</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完善医疗信息服务系统，推进“互联网</w:t>
            </w:r>
            <w:r>
              <w:rPr>
                <w:rFonts w:ascii="仿宋_GB2312" w:eastAsia="仿宋_GB2312" w:hAnsi="仿宋" w:cs="仿宋_GB2312"/>
                <w:snapToGrid w:val="0"/>
                <w:spacing w:val="-4"/>
              </w:rPr>
              <w:t>+</w:t>
            </w:r>
            <w:r>
              <w:rPr>
                <w:rFonts w:ascii="仿宋_GB2312" w:eastAsia="仿宋_GB2312" w:hAnsi="仿宋" w:cs="仿宋_GB2312" w:hint="eastAsia"/>
                <w:snapToGrid w:val="0"/>
                <w:spacing w:val="-4"/>
              </w:rPr>
              <w:t>健康医疗”。</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许亚南</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市卫生健康委</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34</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完善教育资源共享服务系统，推进教育优质资源的均衡化和学校管理服务的智慧化。</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许亚南</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市教育局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35</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完善公共交通服务系统，建立我市重点营运车辆等专用车安全共治管理系统。</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沈</w:t>
            </w:r>
            <w:r>
              <w:rPr>
                <w:rFonts w:ascii="仿宋_GB2312" w:eastAsia="仿宋_GB2312" w:hAnsi="仿宋" w:cs="仿宋_GB2312"/>
                <w:snapToGrid w:val="0"/>
                <w:spacing w:val="-4"/>
              </w:rPr>
              <w:t xml:space="preserve">  </w:t>
            </w:r>
            <w:r>
              <w:rPr>
                <w:rFonts w:ascii="仿宋_GB2312" w:eastAsia="仿宋_GB2312" w:hAnsi="仿宋" w:cs="仿宋_GB2312" w:hint="eastAsia"/>
                <w:snapToGrid w:val="0"/>
                <w:spacing w:val="-4"/>
              </w:rPr>
              <w:t>敏</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市交通局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市级有关部门</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36</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16"/>
              </w:rPr>
            </w:pPr>
            <w:r>
              <w:rPr>
                <w:rFonts w:ascii="仿宋_GB2312" w:eastAsia="仿宋_GB2312" w:hAnsi="仿宋" w:cs="仿宋_GB2312" w:hint="eastAsia"/>
                <w:snapToGrid w:val="0"/>
                <w:spacing w:val="-16"/>
              </w:rPr>
              <w:t>完善人力社保信息服务系统，建设一体化的社会保障公共服务体系。</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市人力社保局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市医保局</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37</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完善养老信息服务系统，形成智慧养老体系。</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卞吉安</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市民政局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市卫生健康委</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38</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完善文旅信息服务系统，形成公共智慧文化网络。</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许亚南</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市文广旅游局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39</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加强体育场馆数字化建设和应用，提升智能化管理水平。</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许亚南</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市体育局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40</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建立全市基层社会综合管理平台，实现社会管理数字化。</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宋越舜</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市委政法委</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市经信局、市大数据局，市级有关部门，各区县（市）政府</w:t>
            </w:r>
          </w:p>
        </w:tc>
      </w:tr>
      <w:tr w:rsidR="000D5778">
        <w:trPr>
          <w:trHeight w:val="645"/>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41</w:t>
            </w:r>
          </w:p>
        </w:tc>
        <w:tc>
          <w:tcPr>
            <w:tcW w:w="1559" w:type="dxa"/>
            <w:vMerge w:val="restart"/>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建设“联动”的数字化社会管理体系</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完善公共安全管理系统，全面推进“雪亮工程”建设，推进云上公安智能管控体系和大数据平台建设。</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市公安局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42</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完善城市管理系统，构建一体化智慧城管体系，推进垃圾智能化分类处理。</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沈</w:t>
            </w:r>
            <w:r>
              <w:rPr>
                <w:rFonts w:ascii="仿宋_GB2312" w:eastAsia="仿宋_GB2312" w:hAnsi="仿宋" w:cs="仿宋_GB2312"/>
                <w:snapToGrid w:val="0"/>
                <w:spacing w:val="-4"/>
              </w:rPr>
              <w:t xml:space="preserve">  </w:t>
            </w:r>
            <w:r>
              <w:rPr>
                <w:rFonts w:ascii="仿宋_GB2312" w:eastAsia="仿宋_GB2312" w:hAnsi="仿宋" w:cs="仿宋_GB2312" w:hint="eastAsia"/>
                <w:snapToGrid w:val="0"/>
                <w:spacing w:val="-4"/>
              </w:rPr>
              <w:t>敏</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市综合执法局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43</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构建应急管理综合应用平台，建成五大业务应用。</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市应急管理局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44</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构建网络空间综合治理平台，提升网络空间治理能力。</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市委网信办</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45</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构建水利管理系统，实现网格化管理和精细化管理。</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卞吉安</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市水利局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46</w:t>
            </w:r>
          </w:p>
        </w:tc>
        <w:tc>
          <w:tcPr>
            <w:tcW w:w="1559" w:type="dxa"/>
            <w:vMerge w:val="restart"/>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建设“共治”的数字化环境保护体系</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建立全市生态环境协同监管综合平台，建设生态环境监测网络和环境保护协同管理平台。</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陈炳荣</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市生态环境局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市大数据局，市级有关部门，各区县（市）政府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47</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加强水环境监测系统建设，实现水污染预警、固体废物防治、污染源追溯。</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陈炳荣</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市生态环境局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48</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加强土壤监测系统建设，建立全市土壤监测系统。</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陈炳荣</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市生态环境局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49</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加强空气环境监测系统建设，实现空气污染源的预警、追溯。</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陈炳荣</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市生态环境局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525"/>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50</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加强海洋环境监测系统建设，提高海洋环境保护建设、监控防治、应急管理能力。</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陈炳荣</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市生态环境局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51</w:t>
            </w:r>
          </w:p>
        </w:tc>
        <w:tc>
          <w:tcPr>
            <w:tcW w:w="1559" w:type="dxa"/>
            <w:vMerge w:val="restart"/>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建设“协同”的数字化政府运行体系</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建立全市政务协同与决策支持综合平台，推进“浙政钉”掌上办公。</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市政府办公厅</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市大数据局，市级有关部门，各区县（市）政府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52</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建设重点工作督查考评系统，实现全过程、动态化管理。</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市政府办公厅</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53</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加快建设自主可控办公系统，全面升级改造政府数字办公环境。</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施惠芳</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市委机要保密局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54</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构建审计监督管理系统，实现审计数据全生命周期管理、审核、监督、追溯。</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市审计局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55</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建设智慧机关事务管理系统，探索全市办公用房、公务用车、资产管理、采购管理和后勤服务“一张网”建设。</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市机关事务</w:t>
            </w:r>
          </w:p>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管理局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571"/>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56</w:t>
            </w:r>
          </w:p>
        </w:tc>
        <w:tc>
          <w:tcPr>
            <w:tcW w:w="1559" w:type="dxa"/>
            <w:vMerge w:val="restart"/>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强化组织领导</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成立由市政府主要领导担任组长的宁波市政府数字化转型工作领导小组，下设办公室（设在市大数据局）。</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市政府办公厅</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r>
      <w:tr w:rsidR="000D5778">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57</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落实“一把手”责任制，建立政府数字化转型工作协调推进机制。</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市级有关部门，</w:t>
            </w:r>
            <w:r>
              <w:rPr>
                <w:rFonts w:ascii="仿宋_GB2312" w:eastAsia="仿宋_GB2312" w:hAnsi="仿宋" w:cs="仿宋_GB2312" w:hint="eastAsia"/>
                <w:snapToGrid w:val="0"/>
                <w:spacing w:val="-10"/>
              </w:rPr>
              <w:t>各区县（市）政府</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58</w:t>
            </w:r>
          </w:p>
        </w:tc>
        <w:tc>
          <w:tcPr>
            <w:tcW w:w="1559" w:type="dxa"/>
            <w:vMerge w:val="restart"/>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强化责任机制</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建立数据资源共享责任清单制，加快政务信息资源目录梳理，加强数据共享需求对接与协调。</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rPr>
              <w:t>市级有关部门，各区县</w:t>
            </w:r>
            <w:r>
              <w:rPr>
                <w:rFonts w:ascii="仿宋_GB2312" w:eastAsia="仿宋_GB2312" w:hAnsi="仿宋" w:cs="仿宋_GB2312" w:hint="eastAsia"/>
                <w:snapToGrid w:val="0"/>
                <w:spacing w:val="-4"/>
              </w:rPr>
              <w:t>（市）政府</w:t>
            </w:r>
          </w:p>
        </w:tc>
      </w:tr>
      <w:tr w:rsidR="000D5778">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59</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建立数据共享评判机制，成公共数据资源共享评判小组，制定数据资源共享、开放协调和评判工作流程。</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市委改革办（市跑改办）、市委编办、市发改委、市司法局、市审计局、市政务办</w:t>
            </w:r>
          </w:p>
        </w:tc>
      </w:tr>
      <w:tr w:rsidR="000D5778">
        <w:trPr>
          <w:trHeight w:val="50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60</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研究探索数据领域立法工作，加快制定《宁波市公共数据管理办法》。</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市司法局</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61</w:t>
            </w:r>
          </w:p>
        </w:tc>
        <w:tc>
          <w:tcPr>
            <w:tcW w:w="1559" w:type="dxa"/>
            <w:vMerge w:val="restart"/>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强化资金保障</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设立市数字化建设（政府数字化转型）专项资金。</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市财政局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市发改委、市大数据局、市经信局</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62</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加强公共数据和电子政务、政府数字化转型及“互联网</w:t>
            </w:r>
            <w:r>
              <w:rPr>
                <w:rFonts w:ascii="仿宋_GB2312" w:eastAsia="仿宋_GB2312" w:hAnsi="仿宋" w:cs="仿宋_GB2312"/>
                <w:snapToGrid w:val="0"/>
                <w:spacing w:val="-4"/>
              </w:rPr>
              <w:t>+</w:t>
            </w:r>
            <w:r>
              <w:rPr>
                <w:rFonts w:ascii="仿宋_GB2312" w:eastAsia="仿宋_GB2312" w:hAnsi="仿宋" w:cs="仿宋_GB2312" w:hint="eastAsia"/>
                <w:snapToGrid w:val="0"/>
                <w:spacing w:val="-4"/>
              </w:rPr>
              <w:t>政务”相关项目建设统筹。</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市发改委、市财政局</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63</w:t>
            </w:r>
          </w:p>
        </w:tc>
        <w:tc>
          <w:tcPr>
            <w:tcW w:w="1559"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强化监督考核</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建立市政府数字化转型目标考核体系，将政府数字化转型工作纳入政府年度目标管理绩效考核。</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市考核办，市级有关部门，各区县（市）政府</w:t>
            </w:r>
          </w:p>
        </w:tc>
      </w:tr>
      <w:tr w:rsidR="000D5778">
        <w:trPr>
          <w:trHeight w:val="7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64</w:t>
            </w:r>
          </w:p>
        </w:tc>
        <w:tc>
          <w:tcPr>
            <w:tcW w:w="1559"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强化标准支撑</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加快对接浙江省政府数字化转型总体标准框架，编制政府数字化转型相关标准规范。</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市市场监管局</w:t>
            </w:r>
          </w:p>
        </w:tc>
      </w:tr>
      <w:tr w:rsidR="000D5778">
        <w:trPr>
          <w:trHeight w:val="489"/>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65</w:t>
            </w:r>
          </w:p>
        </w:tc>
        <w:tc>
          <w:tcPr>
            <w:tcW w:w="1559" w:type="dxa"/>
            <w:vMerge w:val="restart"/>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强化信息安全</w:t>
            </w: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构建全市政府网络安全工作责任体系，完善网络安全管理和数据保护机制。</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市委网信办</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市大数据局、市公安局</w:t>
            </w:r>
          </w:p>
        </w:tc>
      </w:tr>
      <w:tr w:rsidR="000D5778">
        <w:trPr>
          <w:trHeight w:val="582"/>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66</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加强重要领域和关键基础设施密码应用，建立健全网络和信息系统密码保障体系。</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施惠芳</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市委机要保密局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p>
        </w:tc>
      </w:tr>
      <w:tr w:rsidR="000D5778">
        <w:trPr>
          <w:trHeight w:val="590"/>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67</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完善预警通报机制</w:t>
            </w:r>
            <w:r>
              <w:rPr>
                <w:rFonts w:ascii="仿宋_GB2312" w:eastAsia="仿宋_GB2312" w:hAnsi="仿宋" w:cs="仿宋_GB2312"/>
                <w:snapToGrid w:val="0"/>
                <w:spacing w:val="-4"/>
              </w:rPr>
              <w:t>,</w:t>
            </w:r>
            <w:r>
              <w:rPr>
                <w:rFonts w:ascii="仿宋_GB2312" w:eastAsia="仿宋_GB2312" w:hAnsi="仿宋" w:cs="仿宋_GB2312" w:hint="eastAsia"/>
                <w:snapToGrid w:val="0"/>
                <w:spacing w:val="-4"/>
              </w:rPr>
              <w:t>提高政府重要网络与信息系统的威胁感知、应急处置能力。</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市公安局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市大数据局、市委网信办</w:t>
            </w:r>
          </w:p>
        </w:tc>
      </w:tr>
      <w:tr w:rsidR="000D5778">
        <w:trPr>
          <w:trHeight w:val="584"/>
        </w:trPr>
        <w:tc>
          <w:tcPr>
            <w:tcW w:w="709" w:type="dxa"/>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r>
              <w:rPr>
                <w:rFonts w:ascii="仿宋_GB2312" w:eastAsia="仿宋_GB2312" w:hAnsi="仿宋" w:cs="仿宋_GB2312"/>
                <w:snapToGrid w:val="0"/>
                <w:spacing w:val="-4"/>
              </w:rPr>
              <w:t>68</w:t>
            </w:r>
          </w:p>
        </w:tc>
        <w:tc>
          <w:tcPr>
            <w:tcW w:w="1559" w:type="dxa"/>
            <w:vMerge/>
            <w:vAlign w:val="center"/>
          </w:tcPr>
          <w:p w:rsidR="000D5778" w:rsidRDefault="000D5778">
            <w:pPr>
              <w:adjustRightInd w:val="0"/>
              <w:snapToGrid w:val="0"/>
              <w:spacing w:line="240" w:lineRule="atLeast"/>
              <w:jc w:val="center"/>
              <w:rPr>
                <w:rFonts w:ascii="仿宋_GB2312" w:eastAsia="仿宋_GB2312" w:hAnsi="仿宋" w:cs="仿宋_GB2312"/>
                <w:snapToGrid w:val="0"/>
                <w:spacing w:val="-4"/>
              </w:rPr>
            </w:pPr>
          </w:p>
        </w:tc>
        <w:tc>
          <w:tcPr>
            <w:tcW w:w="5386" w:type="dxa"/>
            <w:vAlign w:val="center"/>
          </w:tcPr>
          <w:p w:rsidR="000D5778" w:rsidRDefault="000D5778">
            <w:pPr>
              <w:adjustRightInd w:val="0"/>
              <w:snapToGrid w:val="0"/>
              <w:spacing w:line="240" w:lineRule="atLeast"/>
              <w:rPr>
                <w:rFonts w:ascii="仿宋_GB2312" w:eastAsia="仿宋_GB2312" w:hAnsi="仿宋" w:cs="Times New Roman"/>
                <w:snapToGrid w:val="0"/>
                <w:spacing w:val="-4"/>
              </w:rPr>
            </w:pPr>
            <w:r>
              <w:rPr>
                <w:rFonts w:ascii="仿宋_GB2312" w:eastAsia="仿宋_GB2312" w:hAnsi="仿宋" w:cs="仿宋_GB2312" w:hint="eastAsia"/>
                <w:snapToGrid w:val="0"/>
                <w:spacing w:val="-4"/>
              </w:rPr>
              <w:t>建立政府关键信息基础设施保护制度，落实信息安全等级保护制度，加强重要政府数据安全保护，防范重要数据和公民个人信息泄露。</w:t>
            </w:r>
          </w:p>
        </w:tc>
        <w:tc>
          <w:tcPr>
            <w:tcW w:w="1134"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陈仲朝</w:t>
            </w:r>
          </w:p>
        </w:tc>
        <w:tc>
          <w:tcPr>
            <w:tcW w:w="1701"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市大数据局</w:t>
            </w:r>
          </w:p>
        </w:tc>
        <w:tc>
          <w:tcPr>
            <w:tcW w:w="2552" w:type="dxa"/>
            <w:vAlign w:val="center"/>
          </w:tcPr>
          <w:p w:rsidR="000D5778" w:rsidRDefault="000D5778">
            <w:pPr>
              <w:adjustRightInd w:val="0"/>
              <w:snapToGrid w:val="0"/>
              <w:spacing w:line="240" w:lineRule="atLeast"/>
              <w:jc w:val="center"/>
              <w:rPr>
                <w:rFonts w:ascii="仿宋_GB2312" w:eastAsia="仿宋_GB2312" w:hAnsi="仿宋" w:cs="Times New Roman"/>
                <w:snapToGrid w:val="0"/>
                <w:spacing w:val="-4"/>
              </w:rPr>
            </w:pPr>
            <w:r>
              <w:rPr>
                <w:rFonts w:ascii="仿宋_GB2312" w:eastAsia="仿宋_GB2312" w:hAnsi="仿宋" w:cs="仿宋_GB2312" w:hint="eastAsia"/>
                <w:snapToGrid w:val="0"/>
                <w:spacing w:val="-4"/>
              </w:rPr>
              <w:t>市委网信办，市公安局</w:t>
            </w:r>
          </w:p>
        </w:tc>
      </w:tr>
    </w:tbl>
    <w:p w:rsidR="000D5778" w:rsidRDefault="000D5778" w:rsidP="0096341B">
      <w:pPr>
        <w:adjustRightInd w:val="0"/>
        <w:snapToGrid w:val="0"/>
        <w:spacing w:line="240" w:lineRule="atLeast"/>
        <w:rPr>
          <w:rFonts w:ascii="仿宋_GB2312" w:eastAsia="仿宋_GB2312" w:cs="Times New Roman"/>
          <w:snapToGrid w:val="0"/>
          <w:spacing w:val="-4"/>
          <w:sz w:val="32"/>
          <w:szCs w:val="32"/>
        </w:rPr>
      </w:pPr>
    </w:p>
    <w:sectPr w:rsidR="000D5778" w:rsidSect="0096341B">
      <w:pgSz w:w="16838" w:h="11906" w:orient="landscape"/>
      <w:pgMar w:top="1588" w:right="2098" w:bottom="1474" w:left="1814" w:header="851" w:footer="1474" w:gutter="0"/>
      <w:cols w:space="720"/>
      <w:docGrid w:type="lines" w:linePitch="299" w:charSpace="11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创艺简标宋">
    <w:altName w:val="方正舒体"/>
    <w:panose1 w:val="00000000000000000000"/>
    <w:charset w:val="86"/>
    <w:family w:val="auto"/>
    <w:pitch w:val="variable"/>
    <w:sig w:usb0="00000001" w:usb1="080E0000" w:usb2="00000010" w:usb3="00000000" w:csb0="00040000" w:csb1="00000000"/>
  </w:font>
  <w:font w:name="方正小标宋简体">
    <w:altName w:val="宋体-方正超大字符集"/>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6087C13"/>
    <w:rsid w:val="00084B27"/>
    <w:rsid w:val="000D5778"/>
    <w:rsid w:val="008D5149"/>
    <w:rsid w:val="0096341B"/>
    <w:rsid w:val="00DE333D"/>
    <w:rsid w:val="36087C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27"/>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4B27"/>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semiHidden/>
    <w:rsid w:val="0032410C"/>
    <w:rPr>
      <w:rFonts w:ascii="Calibri" w:hAnsi="Calibri" w:cs="Calibri"/>
      <w:sz w:val="18"/>
      <w:szCs w:val="18"/>
    </w:rPr>
  </w:style>
  <w:style w:type="paragraph" w:customStyle="1" w:styleId="CharCharCharCharCharCharChar">
    <w:name w:val="Char Char Char Char Char Char Char"/>
    <w:basedOn w:val="Normal"/>
    <w:uiPriority w:val="99"/>
    <w:rsid w:val="00084B27"/>
    <w:pPr>
      <w:widowControl/>
      <w:spacing w:after="160" w:line="240" w:lineRule="exact"/>
      <w:jc w:val="left"/>
    </w:pPr>
    <w:rPr>
      <w:rFonts w:ascii="Times New Roman" w:hAnsi="Times New Roman" w:cs="Times New Roman"/>
    </w:rPr>
  </w:style>
  <w:style w:type="character" w:styleId="PageNumber">
    <w:name w:val="page number"/>
    <w:basedOn w:val="DefaultParagraphFont"/>
    <w:uiPriority w:val="99"/>
    <w:rsid w:val="00084B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7E3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690</Words>
  <Characters>3935</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MC SYSTEM</cp:lastModifiedBy>
  <cp:revision>2</cp:revision>
  <dcterms:created xsi:type="dcterms:W3CDTF">2019-07-08T08:42:00Z</dcterms:created>
  <dcterms:modified xsi:type="dcterms:W3CDTF">2019-07-19T07:52:00Z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